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2409"/>
        <w:gridCol w:w="444"/>
        <w:gridCol w:w="1524"/>
        <w:gridCol w:w="3561"/>
        <w:gridCol w:w="669"/>
        <w:gridCol w:w="236"/>
        <w:gridCol w:w="1044"/>
      </w:tblGrid>
      <w:tr w:rsidR="002B7B39" w:rsidRPr="002B7B39" w:rsidTr="002B7B39">
        <w:trPr>
          <w:trHeight w:val="300"/>
        </w:trPr>
        <w:tc>
          <w:tcPr>
            <w:tcW w:w="993" w:type="dxa"/>
            <w:shd w:val="clear" w:color="auto" w:fill="auto"/>
            <w:noWrap/>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Level</w:t>
            </w:r>
          </w:p>
        </w:tc>
        <w:tc>
          <w:tcPr>
            <w:tcW w:w="2409" w:type="dxa"/>
            <w:shd w:val="clear" w:color="auto" w:fill="auto"/>
            <w:noWrap/>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444" w:type="dxa"/>
            <w:shd w:val="clear" w:color="auto" w:fill="auto"/>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5085" w:type="dxa"/>
            <w:gridSpan w:val="2"/>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Kabupaten Kotawaringin Barat</w:t>
            </w:r>
          </w:p>
        </w:tc>
        <w:tc>
          <w:tcPr>
            <w:tcW w:w="669" w:type="dxa"/>
            <w:shd w:val="clear" w:color="auto" w:fill="auto"/>
            <w:noWrap/>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236" w:type="dxa"/>
            <w:shd w:val="clear" w:color="auto" w:fill="auto"/>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1044" w:type="dxa"/>
            <w:shd w:val="clear" w:color="auto" w:fill="auto"/>
            <w:noWrap/>
            <w:vAlign w:val="bottom"/>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3402" w:type="dxa"/>
            <w:gridSpan w:val="2"/>
            <w:shd w:val="clear" w:color="auto" w:fill="auto"/>
            <w:noWrap/>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Komponen</w:t>
            </w:r>
          </w:p>
        </w:tc>
        <w:tc>
          <w:tcPr>
            <w:tcW w:w="444" w:type="dxa"/>
            <w:shd w:val="clear" w:color="auto" w:fill="auto"/>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5085" w:type="dxa"/>
            <w:gridSpan w:val="2"/>
            <w:shd w:val="clear" w:color="auto" w:fill="auto"/>
            <w:noWrap/>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Implementasi Kinerja</w:t>
            </w:r>
          </w:p>
        </w:tc>
        <w:tc>
          <w:tcPr>
            <w:tcW w:w="669" w:type="dxa"/>
            <w:shd w:val="clear" w:color="auto" w:fill="auto"/>
            <w:noWrap/>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236" w:type="dxa"/>
            <w:shd w:val="clear" w:color="auto" w:fill="auto"/>
            <w:vAlign w:val="bottom"/>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1044" w:type="dxa"/>
            <w:shd w:val="clear" w:color="auto" w:fill="auto"/>
            <w:noWrap/>
            <w:vAlign w:val="bottom"/>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993" w:type="dxa"/>
            <w:shd w:val="clear" w:color="auto" w:fill="auto"/>
            <w:noWrap/>
            <w:vAlign w:val="bottom"/>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2409" w:type="dxa"/>
            <w:shd w:val="clear" w:color="auto" w:fill="auto"/>
            <w:noWrap/>
            <w:vAlign w:val="bottom"/>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444" w:type="dxa"/>
            <w:shd w:val="clear" w:color="auto" w:fill="auto"/>
            <w:vAlign w:val="bottom"/>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shd w:val="clear" w:color="auto" w:fill="auto"/>
            <w:noWrap/>
            <w:vAlign w:val="bottom"/>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3561" w:type="dxa"/>
            <w:shd w:val="clear" w:color="auto" w:fill="auto"/>
            <w:noWrap/>
            <w:vAlign w:val="bottom"/>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669" w:type="dxa"/>
            <w:shd w:val="clear" w:color="auto" w:fill="auto"/>
            <w:noWrap/>
            <w:vAlign w:val="bottom"/>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236" w:type="dxa"/>
            <w:shd w:val="clear" w:color="auto" w:fill="auto"/>
            <w:vAlign w:val="bottom"/>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044" w:type="dxa"/>
            <w:shd w:val="clear" w:color="auto" w:fill="auto"/>
            <w:noWrap/>
            <w:vAlign w:val="bottom"/>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3846" w:type="dxa"/>
            <w:gridSpan w:val="3"/>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Isu dalam PGA REDD+</w:t>
            </w:r>
          </w:p>
        </w:tc>
        <w:tc>
          <w:tcPr>
            <w:tcW w:w="5990" w:type="dxa"/>
            <w:gridSpan w:val="4"/>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I. Perencanaan Kehutanan dan Tata Ruang </w:t>
            </w:r>
          </w:p>
        </w:tc>
        <w:tc>
          <w:tcPr>
            <w:tcW w:w="1044" w:type="dxa"/>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3402" w:type="dxa"/>
            <w:gridSpan w:val="2"/>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444" w:type="dxa"/>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034" w:type="dxa"/>
            <w:gridSpan w:val="5"/>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a. Tingkat penerimaan (legitimasi) atas dokumen RTRWP/RTRWK/Kehutanan</w:t>
            </w:r>
          </w:p>
        </w:tc>
      </w:tr>
      <w:tr w:rsidR="002B7B39" w:rsidRPr="002B7B39" w:rsidTr="002B7B39">
        <w:trPr>
          <w:trHeight w:val="300"/>
        </w:trPr>
        <w:tc>
          <w:tcPr>
            <w:tcW w:w="3402" w:type="dxa"/>
            <w:gridSpan w:val="2"/>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Wawancara – Sumber informasi</w:t>
            </w:r>
          </w:p>
        </w:tc>
        <w:tc>
          <w:tcPr>
            <w:tcW w:w="444" w:type="dxa"/>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034" w:type="dxa"/>
            <w:gridSpan w:val="5"/>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856"/>
        <w:gridCol w:w="1180"/>
        <w:gridCol w:w="1513"/>
        <w:gridCol w:w="1276"/>
        <w:gridCol w:w="1276"/>
        <w:gridCol w:w="1275"/>
        <w:gridCol w:w="1985"/>
        <w:gridCol w:w="1524"/>
      </w:tblGrid>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18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FIa1</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Bagaimana (tingkat) penerimaan (legitimasi) </w:t>
            </w:r>
            <w:r w:rsidRPr="002B7B39">
              <w:rPr>
                <w:rFonts w:ascii="Times New Roman" w:eastAsia="Times New Roman" w:hAnsi="Times New Roman" w:cs="Times New Roman"/>
                <w:i/>
                <w:iCs/>
                <w:color w:val="000000"/>
                <w:lang w:eastAsia="id-ID"/>
              </w:rPr>
              <w:t xml:space="preserve">stakeholder </w:t>
            </w:r>
            <w:r w:rsidRPr="002B7B39">
              <w:rPr>
                <w:rFonts w:ascii="Times New Roman" w:eastAsia="Times New Roman" w:hAnsi="Times New Roman" w:cs="Times New Roman"/>
                <w:color w:val="000000"/>
                <w:lang w:eastAsia="id-ID"/>
              </w:rPr>
              <w:t>atas dokumen RTRWP/RTRWK/Kehutanan?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RTRWK saat ini masih dalam proses di DPRD dan belum ditetapkan, sehingga  kami belum mengetahui sejuauh mana penerimaan publik terhadap RTRWK tersebut. </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21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PU</w:t>
            </w:r>
          </w:p>
        </w:tc>
        <w:tc>
          <w:tcPr>
            <w:tcW w:w="1276"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Untuk RTRWK di Kabupaten Kotawaringin Barat belum fainal karena masih menunggu RTRWP Kalsel yang juga belum kelar. Belum bisa dinilai oleh publik karena masih dalam bentuk draf rancangan</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Ada dokumen seperti Ranperda tentang rencana tata wilayah kabupaten (RTWK), belum ada tindak lanjut karena masih menunggu Raperda RTWK Provinsi Kalteng. Draf ranperda tersebut sekarang masih di Bappeda. LSM dilibatkan saat pembahasan raperda tersebut untuk memberikan masukan</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3</w:t>
            </w:r>
          </w:p>
        </w:tc>
      </w:tr>
      <w:tr w:rsidR="002B7B39" w:rsidRPr="002B7B39" w:rsidTr="002B7B39">
        <w:trPr>
          <w:trHeight w:val="24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Hingga saat ini, rancangan RTRWK Kobar masih diproses di DPRD Kobar, sehingga saya tidak tahu seperti apa penerimaan masyarakat mengenai rancangan RTRWK tersebut, apalagi kalau mau dikaitkan dgn REDD+</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6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Asosiasi Pengusaha</w:t>
            </w:r>
          </w:p>
        </w:tc>
        <w:tc>
          <w:tcPr>
            <w:tcW w:w="1276"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24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Akademisi</w:t>
            </w:r>
          </w:p>
        </w:tc>
        <w:tc>
          <w:tcPr>
            <w:tcW w:w="1276"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Rancangan RTRWK Kotawaringin Barat masih dalam proses di DPRD, sehingga belum bisa kita mengetahui sejauh mana penerimaan publik atas dokumen RTRWK Kotawaringin Barat. Kami juga tidak mendapatkan rancangan RTRWK tersebut</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b. Jumlah luas  kawasan hutan yang dikukuhkan dan diterima oleh para pihak</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Wawancara – 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51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FIb1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Jumlah luas kawasan hutan yang dikukuhkan dan dite-rima oleh para pihak</w:t>
            </w:r>
          </w:p>
        </w:tc>
        <w:tc>
          <w:tcPr>
            <w:tcW w:w="1513"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Bagaimana penerimaan para pihak terhadap jumlah luas kawasan hutan yang telah dikukuhkan?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Semua areal kawasan hutan yang ditetapkan pemerintah dan dilindungi oleh UU, semua pihak menerima seperti pengukuhan Taman Nasional Tanjung Puting seluas  </w:t>
            </w:r>
            <w:r w:rsidRPr="002B7B39">
              <w:rPr>
                <w:rFonts w:ascii="Times New Roman" w:eastAsia="Times New Roman" w:hAnsi="Times New Roman" w:cs="Times New Roman"/>
                <w:color w:val="333333"/>
                <w:lang w:eastAsia="id-ID"/>
              </w:rPr>
              <w:t xml:space="preserve"> 415.040 hektar. Taman Suaka Marga Satwa (SMS) Lamandau ditetapkan sebagai suaka margasatwa berdasarkan Keputusan Menteri Kehutanan Nomor 162/Kpts/II/1998, tanggal 12 Februari. Luasnya adalah sekira 76.110 hektar dan berdasarkan pengukuran ulang oleh Badan Planologi Kehutanan pada  2005, luas SMS Lamandau adalah 56.584 ha </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4</w:t>
            </w:r>
          </w:p>
        </w:tc>
      </w:tr>
      <w:tr w:rsidR="002B7B39" w:rsidRPr="002B7B39" w:rsidTr="002B7B39">
        <w:trPr>
          <w:trHeight w:val="1500"/>
        </w:trPr>
        <w:tc>
          <w:tcPr>
            <w:tcW w:w="856"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Belum ada hutan yang dikukuhkan karena acuannya masih dalam tahap pembahasan antara pemerintah pusat dan daerah  </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2100"/>
        </w:trPr>
        <w:tc>
          <w:tcPr>
            <w:tcW w:w="856"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Semua kawasan hutan yang sudah ditetapkan pemerintah seperti Taman Nasional Tanjung Putting dan Suaka Marga Satwa Lamandau diterima oleh semua elemen masyarakat, karena itu ada aturan hukum yang jelas.</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5</w:t>
            </w:r>
          </w:p>
        </w:tc>
      </w:tr>
      <w:tr w:rsidR="002B7B39" w:rsidRPr="002B7B39" w:rsidTr="002B7B39">
        <w:trPr>
          <w:trHeight w:val="3300"/>
        </w:trPr>
        <w:tc>
          <w:tcPr>
            <w:tcW w:w="856"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Kalau disini, ada beberapa kawasan hutan yang telah dikukuhkan statusnya seperti Taman Nasional Tanjung Puting, Kawasan Suaka Margasatwa Lamandu dan lain-lain. Kalau pengukuhan kawasan hutan yg dilakukan oleh negara/pemerintah, semua pihak menerima, karena itu sudah menjadi ketentuan pemerintah</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4</w:t>
            </w:r>
          </w:p>
        </w:tc>
      </w:tr>
      <w:tr w:rsidR="002B7B39" w:rsidRPr="002B7B39" w:rsidTr="002B7B39">
        <w:trPr>
          <w:trHeight w:val="645"/>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c. Jumlah tata- ruang kelola masyarakat adat/lokal yang terakomodir dalam tata-ruang propinsi dan/atau kabupaten</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Wawancara – 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30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FIc1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Jumlah tata-ruang kelola ma-syarakat adat/lokal yang ter-akomodir dalam tata-ruang pro-pinsi dan/atau kabupaten</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jumlah tata-ruang kelola masyarakat adat/lokal yang terakomodir dalam tata-ruang propinsi dan/atau kabupaten sudah memadai?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Kalau hutan  yang dikelola masyarakat sudah memadai, disini ada HTR, HKM, Hutan Desa yang seluruhnya dikelola oleh masyarakat.  Untuk HKM di Kecamatan Arut Utara (Aruta) Kabupaten Kotawaringin Barat  yang diusulkan oleh Yayorin sementara dalam proses pencadangan ke  Menhut.</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3</w:t>
            </w:r>
          </w:p>
        </w:tc>
      </w:tr>
      <w:tr w:rsidR="002B7B39" w:rsidRPr="002B7B39" w:rsidTr="002B7B39">
        <w:trPr>
          <w:trHeight w:val="27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Kalau di Kabupaten  Kotawaringin Barat, tidak ada secara spesifik masyarakat adat,  adat istiadat disini sudah tergerus oleh moderenisasi tapi masyarakat lokal yang berdomisili di sekitar hutan ada.  Lebih ke hak kelola masyarakat tingkat desa atau dusun</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12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FCD5B4"/>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tahu, apakah usulan RTRWK sudah mengakomodir  kepentingan masyarakat atau belum</w:t>
            </w:r>
          </w:p>
        </w:tc>
        <w:tc>
          <w:tcPr>
            <w:tcW w:w="1524" w:type="dxa"/>
            <w:tcBorders>
              <w:top w:val="nil"/>
              <w:left w:val="nil"/>
              <w:bottom w:val="single" w:sz="4" w:space="0" w:color="auto"/>
              <w:right w:val="single" w:sz="4" w:space="0" w:color="auto"/>
            </w:tcBorders>
            <w:shd w:val="clear" w:color="000000" w:fill="FCD5B4"/>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18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Sudah terakomodir dalam RTRWK, namun itu masih dlm bentuk rancangan yg belum ditetapkan oleh DPRD Kabupaten Kotawaringin Barat. Soal persentase tidak tahu</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3</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d. Jumlah konflik penguasaan kawasan yang dapat difasilitasi penyelesaiannya dalam setiap tahun</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Wawancara – 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3900"/>
        </w:trPr>
        <w:tc>
          <w:tcPr>
            <w:tcW w:w="856"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FFFF00"/>
                <w:lang w:eastAsia="id-ID"/>
              </w:rPr>
            </w:pPr>
            <w:r w:rsidRPr="002B7B39">
              <w:rPr>
                <w:rFonts w:ascii="Times New Roman" w:eastAsia="Times New Roman" w:hAnsi="Times New Roman" w:cs="Times New Roman"/>
                <w:color w:val="FFFF00"/>
                <w:lang w:eastAsia="id-ID"/>
              </w:rPr>
              <w:lastRenderedPageBreak/>
              <w:t> </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Jumlah konflik penguasaan kawasan yang dapat difasilitasi penyelesaiannya dalam setiap tahun</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jumlah konflik penguasaan kawasan yang dapat difasilitasi penyelesaiannya dalam setiap tahun sudah memadai?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memadai, karena ada sejumlah masalah yang belum kelar atau masih dalam proses sengketa seperti di areal penyangga Taman Nasional Tanjung Puting sekitar sungai skonyer yang kini sementara diajuhkan oleh sejumlah perusahaan perkebunan sawit untuk dibebaskan, dimana warga setempat juga ikut dlm proses transaksi tersebut, padahal itu areal penyangga.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15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FFFF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 resolusi konflik, karena tidak ada LSM yang fokus ke situ, paling secara personal. Masih terjadi konflik pengelolaan kawasan</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18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FFFF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data soal berapa jumlah konflik penguasaan kawasan dalam setiap tahun. Jadi tidak bisa memberikan penilaian apakah sudah memadai atau belum</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FFFF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data</w:t>
            </w:r>
          </w:p>
        </w:tc>
        <w:tc>
          <w:tcPr>
            <w:tcW w:w="1524"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27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FId1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Hasil mediasi bisa diterima oleh semua pihak dan dijalankan secara konsisten</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hasil mediasi bisa diterima oleh semua pihak dan dijalankan secara konsisten?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Tidak, karena ada pihak yang melanggar komitmen kesepakatan yang telah dibuat misalnya di Kawasan Suaka Lamandau antara Desa Babot I dan Karta Mulya, areal penyangga kawasan </w:t>
            </w:r>
            <w:r w:rsidRPr="002B7B39">
              <w:rPr>
                <w:rFonts w:ascii="Times New Roman" w:eastAsia="Times New Roman" w:hAnsi="Times New Roman" w:cs="Times New Roman"/>
                <w:color w:val="000000"/>
                <w:lang w:eastAsia="id-ID"/>
              </w:rPr>
              <w:lastRenderedPageBreak/>
              <w:t>marga satwa, ada pihak yang kembali merusak.</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2</w:t>
            </w:r>
          </w:p>
        </w:tc>
      </w:tr>
      <w:tr w:rsidR="002B7B39" w:rsidRPr="002B7B39" w:rsidTr="002B7B39">
        <w:trPr>
          <w:trHeight w:val="15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2 desa  di sekitar kawasan Taman Nasional Tanjung Putting, sudah ada kesepakatan batas desa partisipatif di Desa Sungai Cabang dan Teluk Pulai </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4</w:t>
            </w:r>
          </w:p>
        </w:tc>
      </w:tr>
      <w:tr w:rsidR="002B7B39" w:rsidRPr="002B7B39" w:rsidTr="002B7B39">
        <w:trPr>
          <w:trHeight w:val="12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Kalau sudah kesepakan kedua belah pihak, biasnya semua pihak menerima dan konsisten menjalankan kesepakan tersebut</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4</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data</w:t>
            </w:r>
          </w:p>
        </w:tc>
        <w:tc>
          <w:tcPr>
            <w:tcW w:w="1524" w:type="dxa"/>
            <w:tcBorders>
              <w:top w:val="nil"/>
              <w:left w:val="nil"/>
              <w:bottom w:val="single" w:sz="4" w:space="0" w:color="auto"/>
              <w:right w:val="single" w:sz="4" w:space="0" w:color="auto"/>
            </w:tcBorders>
            <w:shd w:val="clear" w:color="000000" w:fill="FFFF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Isu dalam PGA REDD+</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2552"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II. Pengaturan Hak  </w:t>
            </w:r>
          </w:p>
        </w:tc>
        <w:tc>
          <w:tcPr>
            <w:tcW w:w="1275"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1985"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p>
        </w:tc>
      </w:tr>
      <w:tr w:rsidR="002B7B39" w:rsidRPr="002B7B39" w:rsidTr="002B7B39">
        <w:trPr>
          <w:trHeight w:val="6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a. Jumlah hak masyarakat dan bisnis yang telah diadministrasikan pada Unit yang mengadministrasikan hak </w:t>
            </w:r>
            <w:r w:rsidRPr="002B7B39">
              <w:rPr>
                <w:rFonts w:ascii="Times New Roman" w:eastAsia="Times New Roman" w:hAnsi="Times New Roman" w:cs="Times New Roman"/>
                <w:b/>
                <w:bCs/>
                <w:color w:val="000000"/>
                <w:lang w:eastAsia="id-ID"/>
              </w:rPr>
              <w:br/>
              <w:t xml:space="preserve">   masyarakat dan bisnis di Kementerian/SKPD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 Kementerian/Dinas Kehutanan (Unit Pemberi Izin)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FIIa1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Jumlah hak masyarakat dan bisnis yang telah diadministra-sikan pada Unit yang mengad-ministrasikan hak masyarakat dan bisnis di Kementeri</w:t>
            </w:r>
            <w:r w:rsidRPr="002B7B39">
              <w:rPr>
                <w:rFonts w:ascii="Times New Roman" w:eastAsia="Times New Roman" w:hAnsi="Times New Roman" w:cs="Times New Roman"/>
                <w:color w:val="000000"/>
                <w:lang w:eastAsia="id-ID"/>
              </w:rPr>
              <w:lastRenderedPageBreak/>
              <w:t xml:space="preserve">an/SKPD  </w:t>
            </w:r>
          </w:p>
        </w:tc>
        <w:tc>
          <w:tcPr>
            <w:tcW w:w="1513" w:type="dxa"/>
            <w:tcBorders>
              <w:top w:val="nil"/>
              <w:left w:val="nil"/>
              <w:bottom w:val="single" w:sz="4" w:space="0" w:color="auto"/>
              <w:right w:val="single" w:sz="4" w:space="0" w:color="auto"/>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r w:rsidRPr="002B7B39">
              <w:rPr>
                <w:rFonts w:ascii="Calibri" w:eastAsia="Times New Roman" w:hAnsi="Calibri" w:cs="Times New Roman"/>
                <w:color w:val="000000"/>
                <w:lang w:eastAsia="id-ID"/>
              </w:rPr>
              <w:lastRenderedPageBreak/>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6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b. Jumlah hak masyarakat dan bisnis yang telah diadministrasikan pada Unit yang mengadministrasikan hak </w:t>
            </w:r>
            <w:r w:rsidRPr="002B7B39">
              <w:rPr>
                <w:rFonts w:ascii="Times New Roman" w:eastAsia="Times New Roman" w:hAnsi="Times New Roman" w:cs="Times New Roman"/>
                <w:b/>
                <w:bCs/>
                <w:color w:val="000000"/>
                <w:lang w:eastAsia="id-ID"/>
              </w:rPr>
              <w:br/>
              <w:t xml:space="preserve">   masyarakat dan bisnis di Kementerian/SKPD </w:t>
            </w:r>
            <w:r w:rsidRPr="002B7B39">
              <w:rPr>
                <w:rFonts w:ascii="Times New Roman" w:eastAsia="Times New Roman" w:hAnsi="Times New Roman" w:cs="Times New Roman"/>
                <w:b/>
                <w:bCs/>
                <w:color w:val="000000"/>
                <w:lang w:eastAsia="id-ID"/>
              </w:rPr>
              <w:br/>
              <w:t xml:space="preserve"> </w:t>
            </w:r>
          </w:p>
        </w:tc>
      </w:tr>
      <w:tr w:rsidR="002B7B39" w:rsidRPr="002B7B39" w:rsidTr="002B7B39">
        <w:trPr>
          <w:trHeight w:val="6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 Bagian Perencanaan (Dirjen Planologi, UPT/BPKH, Dinas Kehutanan Kabupaten);</w:t>
            </w:r>
            <w:r w:rsidRPr="002B7B39">
              <w:rPr>
                <w:rFonts w:ascii="Times New Roman" w:eastAsia="Times New Roman" w:hAnsi="Times New Roman" w:cs="Times New Roman"/>
                <w:b/>
                <w:bCs/>
                <w:color w:val="000000"/>
                <w:lang w:eastAsia="id-ID"/>
              </w:rPr>
              <w:br/>
              <w:t xml:space="preserve">  Kementerian/Dinas Kehutanan (Unit Pemberi Izin)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FIIb1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Jumlah luas kawasan hutan yang tumpang tindih dengan penggunaan lahan lain  </w:t>
            </w:r>
          </w:p>
        </w:tc>
        <w:tc>
          <w:tcPr>
            <w:tcW w:w="1513" w:type="dxa"/>
            <w:tcBorders>
              <w:top w:val="nil"/>
              <w:left w:val="nil"/>
              <w:bottom w:val="single" w:sz="4" w:space="0" w:color="auto"/>
              <w:right w:val="single" w:sz="4" w:space="0" w:color="auto"/>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r w:rsidRPr="002B7B39">
              <w:rPr>
                <w:rFonts w:ascii="Calibri" w:eastAsia="Times New Roman" w:hAnsi="Calibri"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45"/>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c. Jumlah konflik antar sesama penggunaan kawasan hutan </w:t>
            </w:r>
            <w:r w:rsidRPr="002B7B39">
              <w:rPr>
                <w:rFonts w:ascii="Times New Roman" w:eastAsia="Times New Roman" w:hAnsi="Times New Roman" w:cs="Times New Roman"/>
                <w:b/>
                <w:bCs/>
                <w:color w:val="000000"/>
                <w:lang w:eastAsia="id-ID"/>
              </w:rPr>
              <w:br/>
              <w:t xml:space="preserve">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 Bagian Perencanaan (Dirjen Planologi, UPT/BPKH, Dinas Kehutanan Kabupaten); LSM  (Provinsi &amp; Daerah)</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FIIc1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Jumlah konflik antar sesama penggunaan kawasan hutan </w:t>
            </w:r>
          </w:p>
        </w:tc>
        <w:tc>
          <w:tcPr>
            <w:tcW w:w="1513" w:type="dxa"/>
            <w:tcBorders>
              <w:top w:val="nil"/>
              <w:left w:val="nil"/>
              <w:bottom w:val="single" w:sz="4" w:space="0" w:color="auto"/>
              <w:right w:val="single" w:sz="4" w:space="0" w:color="auto"/>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r w:rsidRPr="002B7B39">
              <w:rPr>
                <w:rFonts w:ascii="Calibri" w:eastAsia="Times New Roman" w:hAnsi="Calibri"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d. Jumlah praktik terbaik (best practices) atas resolusi konflik terkait pengakuan hak masy adat/lokal</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Wawancara - 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 Pemerintah (Pusat &amp; Daerah), LSM, AMAN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1800"/>
        </w:trPr>
        <w:tc>
          <w:tcPr>
            <w:tcW w:w="856"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 </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Jumlah praktik terbaik (best practices) atas resolusi konflik terkait pengakuan hak masyara-kat adat/lokal </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Jumlah praktik terbaik (</w:t>
            </w:r>
            <w:r w:rsidRPr="002B7B39">
              <w:rPr>
                <w:rFonts w:ascii="Times New Roman" w:eastAsia="Times New Roman" w:hAnsi="Times New Roman" w:cs="Times New Roman"/>
                <w:i/>
                <w:iCs/>
                <w:color w:val="000000"/>
                <w:lang w:eastAsia="id-ID"/>
              </w:rPr>
              <w:t>best practices</w:t>
            </w:r>
            <w:r w:rsidRPr="002B7B39">
              <w:rPr>
                <w:rFonts w:ascii="Times New Roman" w:eastAsia="Times New Roman" w:hAnsi="Times New Roman" w:cs="Times New Roman"/>
                <w:color w:val="000000"/>
                <w:lang w:eastAsia="id-ID"/>
              </w:rPr>
              <w:t>) atas resolusi konflik terkait pengakuan hak masyarakat adat/lokal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Ada contoh seperti  kawasan Suaka Marga Satwa, dimana kedua pihak yang berkonflik sempat mengadakan pertemuan dan menggangas kesepakan bersama.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Ya pernah ada di kecamatan Arut Utara dan Kecamatan Kumai</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4</w:t>
            </w:r>
          </w:p>
        </w:tc>
      </w:tr>
      <w:tr w:rsidR="002B7B39" w:rsidRPr="002B7B39" w:rsidTr="002B7B39">
        <w:trPr>
          <w:trHeight w:val="21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FIId1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Pencegahan kekerasan</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resolusi konflik terkait pengakuan hak masy adat/lokal sudah mencakup pencegahan kekerasan?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Proses mediasi konflik yang selama ini diinisiasi memang arahnya kesana (pencegahan kekerasan). Kedua belah pihak apakah itu masyarakat dan perusahaan harapan kami bisa berdamai.</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3</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Membantu mediasi untuk mencairkan hubungan yang terlibat dalam konflik</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3</w:t>
            </w:r>
          </w:p>
        </w:tc>
      </w:tr>
      <w:tr w:rsidR="002B7B39" w:rsidRPr="002B7B39" w:rsidTr="002B7B39">
        <w:trPr>
          <w:trHeight w:val="12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Memang penyelesaian konflik memang diarahkan untuk mencegah terjadi tindak kekerasan.</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3</w:t>
            </w:r>
          </w:p>
        </w:tc>
      </w:tr>
      <w:tr w:rsidR="002B7B39" w:rsidRPr="002B7B39" w:rsidTr="002B7B39">
        <w:trPr>
          <w:trHeight w:val="15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FIId2</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Penyelesaian konflik</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resolusi konflik terkait pengakuan hak masy adat/lokal sudah mencakup penyelesaian konflik?</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Ya proses mediasi yang dilakukan memang targetnya adalah penyelesaian konflik, namun itu sangat bergantung pada komitmen para pihak</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 tahap mediasi</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Ya, mediasi konflik kan tujuan akhirnya memang ke penyelesaian konflik.</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4</w:t>
            </w:r>
          </w:p>
        </w:tc>
      </w:tr>
      <w:tr w:rsidR="002B7B39" w:rsidRPr="002B7B39" w:rsidTr="002B7B39">
        <w:trPr>
          <w:trHeight w:val="6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FIId3</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Penerimaan para pihak</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Apakah resolusi konflik terkait </w:t>
            </w:r>
            <w:r w:rsidRPr="002B7B39">
              <w:rPr>
                <w:rFonts w:ascii="Times New Roman" w:eastAsia="Times New Roman" w:hAnsi="Times New Roman" w:cs="Times New Roman"/>
                <w:color w:val="000000"/>
                <w:lang w:eastAsia="id-ID"/>
              </w:rPr>
              <w:lastRenderedPageBreak/>
              <w:t>pengakuan hak masy adat/lokal sudah mencakup penerimaan para pihak?</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masih ada yang melanggar kesepakatan</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Soal penerimaan para pihak sangat relatif, tergantung kondisi lapangan </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Para pihak biasanya dapat menerima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4</w:t>
            </w:r>
          </w:p>
        </w:tc>
      </w:tr>
      <w:tr w:rsidR="002B7B39" w:rsidRPr="002B7B39" w:rsidTr="002B7B39">
        <w:trPr>
          <w:trHeight w:val="12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FIId4</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Komitmen tetap dijalankan</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dalam resolusi konflik terkait pengakuan hak masyarakat adat/lokal, komitmen yang ada tetap dijalankan?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Ada komitmen yang dijalankan, namun ada  juga yang melanggar kesepakatan atau komitmen bersama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Kurang dijalankan.</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12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Biasanya dijalankan secara konsisten, namun terkadang ada pihak ketiga yg memperkuruh suasana.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3</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e. Jumlah/frekuensi  dan kualitas pemberitaan terkait pengakuan hak masy adat/lokal meningkat</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 Media cetak</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FIIe1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Jumlah/frekuensi  dan kualitas pemberitaan terkait pengakuan hak masy adat/lokal meningkat</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jumlah/frekuensi  dan kua-litas pemberitaan terkait pengaku-an hak masy adat/lokal mening-kat?</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Minim, karena disini minim sekali informan kunci untuk isu-isu yang terkait dengan masyarakat adat. Kalau media kami (Borneo News) lebih banyak mengambil berita ttg masyarakat adat atau lokal dari Media Indoensia yang kebetulan kami satu group</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FIIe2</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Cakupan berita  mengenai pengakuan pejabat atas hak masyarakat adat</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cakupan berita mengenai pengakuan pejabat atas hak ma-syarakat adat sudah memadai?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karena memang masyarakat adat /lokal di Kobar  kurang diberdayakan, paling mereka jadi objek jualan</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r>
      <w:tr w:rsidR="002B7B39" w:rsidRPr="002B7B39" w:rsidTr="002B7B39">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FIIe3</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Posisi berita dalam media cetak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Posisi berita dalam media cetak sudah memadai?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Kebanyakan berita di Borneo News dari Media Indonesia  atau metro tv, karena skop lokal hampir tidak ada. Tapi kalau soal pesisi berita kalau ada berita yg dimuat di media cetak (koran) menyangkut lokal, biasanya pemerintah cepat merespon</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3</w:t>
            </w:r>
          </w:p>
        </w:tc>
      </w:tr>
      <w:tr w:rsidR="002B7B39" w:rsidRPr="002B7B39" w:rsidTr="002B7B39">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FIIe4</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Posisi media dalam pemberitaan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Posisi media dalam pemberitaan sudah memadai?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Kalau jurnalis yang bekerja melakukan reportase, memberikan ruang bagi pemberitaan orang yang termarjinalkan dan berita lingkungan, tapi secara umum kembali ke redaksi masing-masing</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3</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3549" w:type="dxa"/>
            <w:gridSpan w:val="3"/>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Isu dalam PGA REDD+</w:t>
            </w:r>
          </w:p>
        </w:tc>
        <w:tc>
          <w:tcPr>
            <w:tcW w:w="5812" w:type="dxa"/>
            <w:gridSpan w:val="4"/>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III. Pengorganisasian Hutan</w:t>
            </w: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a. Jumlah biaya transaksi pengurusan izin pengelolaan hutankelola hutan dan lahan gambut</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Wawancara – 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Pengusaha, Organisasi Masyarakat Adat, LSM</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9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FIIIa1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 xml:space="preserve">Jumlah biaya transaksi pengurusan izin pengelolaan hutan </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Jumlah biaya transaksi pengurusan izin pengelolaan hutan</w:t>
            </w: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mengetahui, karena tidak pernah dapat informasi dari dinas kehutanan</w:t>
            </w:r>
          </w:p>
        </w:tc>
        <w:tc>
          <w:tcPr>
            <w:tcW w:w="1524" w:type="dxa"/>
            <w:tcBorders>
              <w:top w:val="nil"/>
              <w:left w:val="nil"/>
              <w:bottom w:val="single" w:sz="4" w:space="0" w:color="auto"/>
              <w:right w:val="single" w:sz="4" w:space="0" w:color="auto"/>
            </w:tcBorders>
            <w:shd w:val="clear" w:color="000000" w:fill="FFFF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66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mengetahui</w:t>
            </w:r>
          </w:p>
        </w:tc>
        <w:tc>
          <w:tcPr>
            <w:tcW w:w="1524" w:type="dxa"/>
            <w:tcBorders>
              <w:top w:val="nil"/>
              <w:left w:val="nil"/>
              <w:bottom w:val="single" w:sz="4" w:space="0" w:color="auto"/>
              <w:right w:val="single" w:sz="4" w:space="0" w:color="auto"/>
            </w:tcBorders>
            <w:shd w:val="clear" w:color="000000" w:fill="FFFF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69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b. Kewenangan dan intervensi pemerintah dalam proses pengelolaan hutan yang menjadi domain pelaku </w:t>
            </w:r>
            <w:r w:rsidRPr="002B7B39">
              <w:rPr>
                <w:rFonts w:ascii="Times New Roman" w:eastAsia="Times New Roman" w:hAnsi="Times New Roman" w:cs="Times New Roman"/>
                <w:b/>
                <w:bCs/>
                <w:color w:val="000000"/>
                <w:lang w:eastAsia="id-ID"/>
              </w:rPr>
              <w:br/>
              <w:t xml:space="preserve">  pemegang ijin</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Peraturan Prosedur Pelaksanaan Pengurusan Izin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24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lastRenderedPageBreak/>
              <w:t>FIIIb1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 xml:space="preserve">Jumlah tahapan dan bentuk persyaratan setiap tahapan dalam pengurusan izin </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Berdasarkan peta 2092 tahun 2010 tentang 2010 tentang perubahan kawasan hutan masih terdapat peruntukan kawasan hutan untuk kepentingan non hutan seperti perkebunan sawit dan pertambangan </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BPN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Dokumen tidak diberikan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945"/>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Dinas Pertanian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Dokumen tidak diberikan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3549" w:type="dxa"/>
            <w:gridSpan w:val="3"/>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Isu dalam PGA REDD+</w:t>
            </w:r>
          </w:p>
        </w:tc>
        <w:tc>
          <w:tcPr>
            <w:tcW w:w="5812" w:type="dxa"/>
            <w:gridSpan w:val="4"/>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IV. Pengelolaan Hutan</w:t>
            </w: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63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a. Jumlah kelompok masyarakat adat/lokal yang secara faktual mengelola hutan, gambut, kebun, termasuk </w:t>
            </w:r>
            <w:r w:rsidRPr="002B7B39">
              <w:rPr>
                <w:rFonts w:ascii="Times New Roman" w:eastAsia="Times New Roman" w:hAnsi="Times New Roman" w:cs="Times New Roman"/>
                <w:b/>
                <w:bCs/>
                <w:color w:val="000000"/>
                <w:lang w:eastAsia="id-ID"/>
              </w:rPr>
              <w:br/>
              <w:t xml:space="preserve">  Izin HTR/Hutan Desa/Hutan Kemasyarakatan dalam satu provinsi/kab/kota</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Kementerian &amp; Dinas Kehutanan, Kementerian &amp; Dinas Pertanian, BPN &amp; BPN-Daerah</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819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lastRenderedPageBreak/>
              <w:t>FIVa1</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Jumlah kelompok masyarakat adat/lokal yang secara faktual mengelola hutan, gambut, ke-bun, termasuk Izin HTR/Hutan Desa/Hutan Kemasyarakatan dalam satu provinsi/kab/kota</w:t>
            </w:r>
          </w:p>
        </w:tc>
        <w:tc>
          <w:tcPr>
            <w:tcW w:w="1513" w:type="dxa"/>
            <w:vMerge w:val="restart"/>
            <w:tcBorders>
              <w:top w:val="nil"/>
              <w:left w:val="single" w:sz="4" w:space="0" w:color="auto"/>
              <w:bottom w:val="single" w:sz="4" w:space="0" w:color="000000"/>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000000" w:fill="FFFFFF"/>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Peruntukan kawasan hutan Kab.Kotawaringin Barat</w:t>
            </w:r>
            <w:r w:rsidRPr="002B7B39">
              <w:rPr>
                <w:rFonts w:ascii="Times New Roman" w:eastAsia="Times New Roman" w:hAnsi="Times New Roman" w:cs="Times New Roman"/>
                <w:color w:val="000000"/>
                <w:lang w:eastAsia="id-ID"/>
              </w:rPr>
              <w:br/>
              <w:t>- Hutan Lindung (HL) = 9.698 Ha :) atau 1,0 %</w:t>
            </w:r>
            <w:r w:rsidRPr="002B7B39">
              <w:rPr>
                <w:rFonts w:ascii="Times New Roman" w:eastAsia="Times New Roman" w:hAnsi="Times New Roman" w:cs="Times New Roman"/>
                <w:color w:val="000000"/>
                <w:lang w:eastAsia="id-ID"/>
              </w:rPr>
              <w:br/>
              <w:t>- Kawasan Suaka Alam = 238,237 Ha atau 24.9 %</w:t>
            </w:r>
            <w:r w:rsidRPr="002B7B39">
              <w:rPr>
                <w:rFonts w:ascii="Times New Roman" w:eastAsia="Times New Roman" w:hAnsi="Times New Roman" w:cs="Times New Roman"/>
                <w:color w:val="000000"/>
                <w:lang w:eastAsia="id-ID"/>
              </w:rPr>
              <w:br/>
              <w:t>- Hutan Produksi (HP) = 248,153 Ha atau 26,0 %</w:t>
            </w:r>
            <w:r w:rsidRPr="002B7B39">
              <w:rPr>
                <w:rFonts w:ascii="Times New Roman" w:eastAsia="Times New Roman" w:hAnsi="Times New Roman" w:cs="Times New Roman"/>
                <w:color w:val="000000"/>
                <w:lang w:eastAsia="id-ID"/>
              </w:rPr>
              <w:br/>
              <w:t>- Hutan Produksi Terbatas (HPT) = 49,315 Ha atau 5,2 %</w:t>
            </w:r>
            <w:r w:rsidRPr="002B7B39">
              <w:rPr>
                <w:rFonts w:ascii="Times New Roman" w:eastAsia="Times New Roman" w:hAnsi="Times New Roman" w:cs="Times New Roman"/>
                <w:color w:val="000000"/>
                <w:lang w:eastAsia="id-ID"/>
              </w:rPr>
              <w:br/>
              <w:t>- Hutan Produksi yang dapat dikonversi HPK = 156,064 Ha atau 16,3</w:t>
            </w:r>
            <w:r w:rsidRPr="002B7B39">
              <w:rPr>
                <w:rFonts w:ascii="Times New Roman" w:eastAsia="Times New Roman" w:hAnsi="Times New Roman" w:cs="Times New Roman"/>
                <w:color w:val="000000"/>
                <w:lang w:eastAsia="id-ID"/>
              </w:rPr>
              <w:br/>
              <w:t>- Areal Penggunaan Lainnya (APL) = 245, 393  Ha atau 25,7</w:t>
            </w:r>
            <w:r w:rsidRPr="002B7B39">
              <w:rPr>
                <w:rFonts w:ascii="Times New Roman" w:eastAsia="Times New Roman" w:hAnsi="Times New Roman" w:cs="Times New Roman"/>
                <w:color w:val="000000"/>
                <w:lang w:eastAsia="id-ID"/>
              </w:rPr>
              <w:br/>
              <w:t>- Tubuh Air  = 8,931 Ha atau 0,9 %</w:t>
            </w:r>
            <w:r w:rsidRPr="002B7B39">
              <w:rPr>
                <w:rFonts w:ascii="Times New Roman" w:eastAsia="Times New Roman" w:hAnsi="Times New Roman" w:cs="Times New Roman"/>
                <w:color w:val="000000"/>
                <w:lang w:eastAsia="id-ID"/>
              </w:rPr>
              <w:br/>
            </w:r>
            <w:r w:rsidRPr="002B7B39">
              <w:rPr>
                <w:rFonts w:ascii="Times New Roman" w:eastAsia="Times New Roman" w:hAnsi="Times New Roman" w:cs="Times New Roman"/>
                <w:color w:val="000000"/>
                <w:lang w:eastAsia="id-ID"/>
              </w:rPr>
              <w:br/>
              <w:t xml:space="preserve">Catatan : Tidak ada data yang jelas yang menginformasikan jumlah kelompok masyarakat adat/lokal yg secara faktual </w:t>
            </w:r>
            <w:r w:rsidRPr="002B7B39">
              <w:rPr>
                <w:rFonts w:ascii="Times New Roman" w:eastAsia="Times New Roman" w:hAnsi="Times New Roman" w:cs="Times New Roman"/>
                <w:color w:val="000000"/>
                <w:lang w:eastAsia="id-ID"/>
              </w:rPr>
              <w:lastRenderedPageBreak/>
              <w:t>mengelola hutan di Kotawaringin Barat</w:t>
            </w:r>
            <w:r w:rsidRPr="002B7B39">
              <w:rPr>
                <w:rFonts w:ascii="Times New Roman" w:eastAsia="Times New Roman" w:hAnsi="Times New Roman" w:cs="Times New Roman"/>
                <w:color w:val="000000"/>
                <w:lang w:eastAsia="id-ID"/>
              </w:rPr>
              <w:br/>
            </w:r>
            <w:r w:rsidRPr="002B7B39">
              <w:rPr>
                <w:rFonts w:ascii="Times New Roman" w:eastAsia="Times New Roman" w:hAnsi="Times New Roman" w:cs="Times New Roman"/>
                <w:color w:val="000000"/>
                <w:lang w:eastAsia="id-ID"/>
              </w:rPr>
              <w:br/>
              <w:t>Sumber Data : Laporan Tahunan Dishut Kotawaringin Barat tahun 2011</w:t>
            </w:r>
          </w:p>
        </w:tc>
        <w:tc>
          <w:tcPr>
            <w:tcW w:w="1275" w:type="dxa"/>
            <w:tcBorders>
              <w:top w:val="nil"/>
              <w:left w:val="nil"/>
              <w:bottom w:val="single" w:sz="4" w:space="0" w:color="auto"/>
              <w:right w:val="single" w:sz="4" w:space="0" w:color="auto"/>
            </w:tcBorders>
            <w:shd w:val="clear" w:color="000000" w:fill="FFFFFF"/>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BPN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Dokumen tidak didapatkan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Dinas Pertanian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Dokumen tidak didapatkan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b. Jumlah kawasan yang dikelola secara berkelanjutan oleh pelaku pengelolaan hutan</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Pelaku Pemegang Izin, Kementerian &amp; Dinas Kehutanan (Provinsi &amp; Kabupaten)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27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lastRenderedPageBreak/>
              <w:t>FIVb1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 xml:space="preserve">Jumlah kawasan yang dikelola secara berkelanjutan oleh pelaku pengelolaan hutan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Luas kawasan yg dikelola secara berkelanjutan (hutan lindung) di Kab Kotawaringin Barat yaitu 9,698 atau 1,0 % dari luas hutan yg ada + Kawasan Suaka Alam seluas 238,237 hektar atau 24,9 % dari luas hutan di Kotawaringin Barat</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2</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c. Persentase hutan yang memiliki pengelola (KPH)</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Kementerian Kehutanan &amp; Dinas Kehutanan (Provinsi &amp; Kabupaten)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27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FIVc1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Persentase hutan yang memiliki pengelola (KPH)</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Baru satu unit yang terbentuk, tapi belum operasional.  Permasalahnya pembentukan KPH berdasarkan catatan Laporan Kehutanan Kotawaringin Barat tahun 2011, pembentukan KPH terkendala dengan belum dikukuhkan oleh </w:t>
            </w:r>
            <w:r w:rsidRPr="002B7B39">
              <w:rPr>
                <w:rFonts w:ascii="Times New Roman" w:eastAsia="Times New Roman" w:hAnsi="Times New Roman" w:cs="Times New Roman"/>
                <w:color w:val="000000"/>
                <w:lang w:eastAsia="id-ID"/>
              </w:rPr>
              <w:lastRenderedPageBreak/>
              <w:t>Kementerian Kehutanan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2</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d. Jumlah pengelolaan hutan berbasis ecological services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Kementerian Kehutanan (Dirjen PHKA, BUK), Dinas Kehutanan (Provinsi &amp; Kabupaten)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4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FIVd1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 xml:space="preserve">Jumlah pengelolaan hutan berbasis ecological services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Taman Nasional Tanjung Puting seluas   415.040 hektar. </w:t>
            </w:r>
            <w:r w:rsidRPr="002B7B39">
              <w:rPr>
                <w:rFonts w:ascii="Times New Roman" w:eastAsia="Times New Roman" w:hAnsi="Times New Roman" w:cs="Times New Roman"/>
                <w:color w:val="000000"/>
                <w:lang w:eastAsia="id-ID"/>
              </w:rPr>
              <w:br/>
              <w:t xml:space="preserve">Taman Suaka Marga Satwa (SMS) Lamandau ditetapkan sebagai suaka margasatwa berdasarkan Keputusan Menteri Kehutanan Nomor 162/Kpts/II/1998, tanggal 12 Februari. Luasnya adalah sekira 76.110 hektar dan berdasarkan pengukuran ulang oleh Badan Planologi </w:t>
            </w:r>
            <w:r w:rsidRPr="002B7B39">
              <w:rPr>
                <w:rFonts w:ascii="Times New Roman" w:eastAsia="Times New Roman" w:hAnsi="Times New Roman" w:cs="Times New Roman"/>
                <w:color w:val="000000"/>
                <w:lang w:eastAsia="id-ID"/>
              </w:rPr>
              <w:lastRenderedPageBreak/>
              <w:t xml:space="preserve">Kehutanan pada  2005, luas SMS Lamandau adalah 56.584 ha.  </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4</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3549" w:type="dxa"/>
            <w:gridSpan w:val="3"/>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Isu dalam PGA REDD+</w:t>
            </w:r>
          </w:p>
        </w:tc>
        <w:tc>
          <w:tcPr>
            <w:tcW w:w="5812" w:type="dxa"/>
            <w:gridSpan w:val="4"/>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V. Pengendalian dan Penegakan Hukum</w:t>
            </w: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a. Jumlah pelanggaran penggunaan anggaran di tingkat provinsi dan kab/kota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Laporan Inspektorat, BPKP &amp; BPK, Bawasda</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FVa1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 xml:space="preserve">Jumlah pelanggaran pengguna-an anggaran di tingkat provinsi dan kab/kota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BPK, BAWASDA, INSPEKTORAT</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b. Jumlah sanksi administratif serius (pencabutan izin, dan denda, yang telah dijatuhkan)</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Kementrian &amp; Dinas Kehutanan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27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FVb1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Jumlah sanksi administratif serius (pencabutan izin, dan denda, yang telah dijatuhkan)</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000000" w:fill="FFFFFF"/>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Dalam Laporan Tahunan Dishut Kotawaringin Barat 2011 tidak ditemukan adanya informasi mengenai sanksi </w:t>
            </w:r>
            <w:r w:rsidRPr="002B7B39">
              <w:rPr>
                <w:rFonts w:ascii="Times New Roman" w:eastAsia="Times New Roman" w:hAnsi="Times New Roman" w:cs="Times New Roman"/>
                <w:color w:val="000000"/>
                <w:lang w:eastAsia="id-ID"/>
              </w:rPr>
              <w:lastRenderedPageBreak/>
              <w:t>administrasi serius berupa pencabutan izin dan denda, bagi perusahaan yang melanggar UU Kehutanan atau peraturan kehutanan  lainnya</w:t>
            </w:r>
          </w:p>
        </w:tc>
        <w:tc>
          <w:tcPr>
            <w:tcW w:w="1275" w:type="dxa"/>
            <w:tcBorders>
              <w:top w:val="nil"/>
              <w:left w:val="nil"/>
              <w:bottom w:val="single" w:sz="4" w:space="0" w:color="auto"/>
              <w:right w:val="single" w:sz="4" w:space="0" w:color="auto"/>
            </w:tcBorders>
            <w:shd w:val="clear" w:color="000000" w:fill="FFFFFF"/>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c. Jumlah kasus pidana kehutanan yang diajukan/diproses oleh polisi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Kepolisian (Nasional &amp; Daerah)</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FVc1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 xml:space="preserve">Jumlah kasus pidana kehutanan yang diajukan/diproses oleh polisi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Polres</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Dokumen tidak diberikan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585"/>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d. Jumlah kasus terkait kehutanan (korupsi, AML, Pidanan LH, atau Pajak yang terkait kehutanan) yang </w:t>
            </w:r>
            <w:r w:rsidRPr="002B7B39">
              <w:rPr>
                <w:rFonts w:ascii="Times New Roman" w:eastAsia="Times New Roman" w:hAnsi="Times New Roman" w:cs="Times New Roman"/>
                <w:b/>
                <w:bCs/>
                <w:color w:val="000000"/>
                <w:lang w:eastAsia="id-ID"/>
              </w:rPr>
              <w:br/>
              <w:t xml:space="preserve">  diputuskan oleh MA</w:t>
            </w:r>
            <w:r w:rsidRPr="002B7B39">
              <w:rPr>
                <w:rFonts w:ascii="Times New Roman" w:eastAsia="Times New Roman" w:hAnsi="Times New Roman" w:cs="Times New Roman"/>
                <w:b/>
                <w:bCs/>
                <w:color w:val="000000"/>
                <w:lang w:eastAsia="id-ID"/>
              </w:rPr>
              <w:br/>
              <w:t xml:space="preserve">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Kepolisian (Nasional &amp; Daerah)</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FVd1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Jumlah kasus terkait kehutanan (korupsi, AML, Pidanan LH, atau Pajak yang terkait kehutanan) yang diputuskan oleh MA</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Polres</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Dokumen tidak diberikan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lastRenderedPageBreak/>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e. Index integritas KPK sektor kehutanan</w:t>
            </w:r>
            <w:r w:rsidRPr="002B7B39">
              <w:rPr>
                <w:rFonts w:ascii="Times New Roman" w:eastAsia="Times New Roman" w:hAnsi="Times New Roman" w:cs="Times New Roman"/>
                <w:b/>
                <w:bCs/>
                <w:color w:val="000000"/>
                <w:lang w:eastAsia="id-ID"/>
              </w:rPr>
              <w:br/>
              <w:t xml:space="preserve">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Hasil Survai KPK tentang Integritas</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FVe1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Index integritas KPK sektor kehutanan</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KPK &amp; TII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f. Index persepsi korupsi di lokasi assesmen (TII)</w:t>
            </w:r>
            <w:r w:rsidRPr="002B7B39">
              <w:rPr>
                <w:rFonts w:ascii="Times New Roman" w:eastAsia="Times New Roman" w:hAnsi="Times New Roman" w:cs="Times New Roman"/>
                <w:b/>
                <w:bCs/>
                <w:color w:val="000000"/>
                <w:lang w:eastAsia="id-ID"/>
              </w:rPr>
              <w:br/>
            </w:r>
            <w:r w:rsidRPr="002B7B39">
              <w:rPr>
                <w:rFonts w:ascii="Times New Roman" w:eastAsia="Times New Roman" w:hAnsi="Times New Roman" w:cs="Times New Roman"/>
                <w:b/>
                <w:bCs/>
                <w:color w:val="000000"/>
                <w:lang w:eastAsia="id-ID"/>
              </w:rPr>
              <w:br/>
            </w:r>
            <w:r w:rsidRPr="002B7B39">
              <w:rPr>
                <w:rFonts w:ascii="Times New Roman" w:eastAsia="Times New Roman" w:hAnsi="Times New Roman" w:cs="Times New Roman"/>
                <w:b/>
                <w:bCs/>
                <w:color w:val="000000"/>
                <w:lang w:eastAsia="id-ID"/>
              </w:rPr>
              <w:br/>
              <w:t xml:space="preserve">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Hasil Survai Persepsi Transparansi Internasional Indonesia (TII)</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FVf1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 xml:space="preserve">Index persepsi korupsi di lokasi assesmen (TII)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KPK &amp; TII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615"/>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g. Nilai kerugian negara pada Satuan Kerja Pengelola Hutan/Unit Pengelola Hutan, yang didasarkan atas </w:t>
            </w:r>
            <w:r w:rsidRPr="002B7B39">
              <w:rPr>
                <w:rFonts w:ascii="Times New Roman" w:eastAsia="Times New Roman" w:hAnsi="Times New Roman" w:cs="Times New Roman"/>
                <w:b/>
                <w:bCs/>
                <w:color w:val="000000"/>
                <w:lang w:eastAsia="id-ID"/>
              </w:rPr>
              <w:br/>
              <w:t xml:space="preserve">       hasil pemeriksaan Laporan Keuangan Satuan Kerja tersebut oleh BPK RI</w:t>
            </w:r>
            <w:r w:rsidRPr="002B7B39">
              <w:rPr>
                <w:rFonts w:ascii="Times New Roman" w:eastAsia="Times New Roman" w:hAnsi="Times New Roman" w:cs="Times New Roman"/>
                <w:b/>
                <w:bCs/>
                <w:color w:val="000000"/>
                <w:lang w:eastAsia="id-ID"/>
              </w:rPr>
              <w:br/>
            </w:r>
            <w:r w:rsidRPr="002B7B39">
              <w:rPr>
                <w:rFonts w:ascii="Times New Roman" w:eastAsia="Times New Roman" w:hAnsi="Times New Roman" w:cs="Times New Roman"/>
                <w:b/>
                <w:bCs/>
                <w:color w:val="000000"/>
                <w:lang w:eastAsia="id-ID"/>
              </w:rPr>
              <w:br/>
            </w:r>
            <w:r w:rsidRPr="002B7B39">
              <w:rPr>
                <w:rFonts w:ascii="Times New Roman" w:eastAsia="Times New Roman" w:hAnsi="Times New Roman" w:cs="Times New Roman"/>
                <w:b/>
                <w:bCs/>
                <w:color w:val="000000"/>
                <w:lang w:eastAsia="id-ID"/>
              </w:rPr>
              <w:br/>
            </w:r>
            <w:r w:rsidRPr="002B7B39">
              <w:rPr>
                <w:rFonts w:ascii="Times New Roman" w:eastAsia="Times New Roman" w:hAnsi="Times New Roman" w:cs="Times New Roman"/>
                <w:b/>
                <w:bCs/>
                <w:color w:val="000000"/>
                <w:lang w:eastAsia="id-ID"/>
              </w:rPr>
              <w:br/>
              <w:t xml:space="preserve">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Laporan BPK</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FVg1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 xml:space="preserve">Nilai kerugian negara pada Sa-tuan Kerja Pengelola Hutan/ Unit Pengelola Hutan, yang didasarkan atas hasil pemerik-saan </w:t>
            </w:r>
            <w:r w:rsidRPr="002B7B39">
              <w:rPr>
                <w:rFonts w:ascii="Times New Roman" w:eastAsia="Times New Roman" w:hAnsi="Times New Roman" w:cs="Times New Roman"/>
                <w:lang w:eastAsia="id-ID"/>
              </w:rPr>
              <w:lastRenderedPageBreak/>
              <w:t xml:space="preserve">Laporan Keuangan Satuan Kerja tersebut oleh BPK RI.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BPK, BAWASDA, INSPEKTORAT</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h. Jumlah pengaduan masyarakat tentang kinerja pengelolaan hutan</w:t>
            </w:r>
            <w:r w:rsidRPr="002B7B39">
              <w:rPr>
                <w:rFonts w:ascii="Times New Roman" w:eastAsia="Times New Roman" w:hAnsi="Times New Roman" w:cs="Times New Roman"/>
                <w:b/>
                <w:bCs/>
                <w:color w:val="000000"/>
                <w:lang w:eastAsia="id-ID"/>
              </w:rPr>
              <w:br/>
            </w:r>
            <w:r w:rsidRPr="002B7B39">
              <w:rPr>
                <w:rFonts w:ascii="Times New Roman" w:eastAsia="Times New Roman" w:hAnsi="Times New Roman" w:cs="Times New Roman"/>
                <w:b/>
                <w:bCs/>
                <w:color w:val="000000"/>
                <w:lang w:eastAsia="id-ID"/>
              </w:rPr>
              <w:br/>
            </w:r>
            <w:r w:rsidRPr="002B7B39">
              <w:rPr>
                <w:rFonts w:ascii="Times New Roman" w:eastAsia="Times New Roman" w:hAnsi="Times New Roman" w:cs="Times New Roman"/>
                <w:b/>
                <w:bCs/>
                <w:color w:val="000000"/>
                <w:lang w:eastAsia="id-ID"/>
              </w:rPr>
              <w:br/>
            </w:r>
            <w:r w:rsidRPr="002B7B39">
              <w:rPr>
                <w:rFonts w:ascii="Times New Roman" w:eastAsia="Times New Roman" w:hAnsi="Times New Roman" w:cs="Times New Roman"/>
                <w:b/>
                <w:bCs/>
                <w:color w:val="000000"/>
                <w:lang w:eastAsia="id-ID"/>
              </w:rPr>
              <w:br/>
              <w:t xml:space="preserve"> </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Kementerian &amp; Dinas Kehutanan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FVh1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r w:rsidRPr="002B7B39">
              <w:rPr>
                <w:rFonts w:ascii="Times New Roman" w:eastAsia="Times New Roman" w:hAnsi="Times New Roman" w:cs="Times New Roman"/>
                <w:lang w:eastAsia="id-ID"/>
              </w:rPr>
              <w:t xml:space="preserve">Jumlah pengaduan masyarakat tentang kinerja pengelolaan hutan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informasi  mengenai data pengaduan masyarakat terkait pengelolaan hutan</w:t>
            </w:r>
          </w:p>
        </w:tc>
        <w:tc>
          <w:tcPr>
            <w:tcW w:w="1275"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lang w:eastAsia="id-ID"/>
              </w:rPr>
            </w:pPr>
          </w:p>
        </w:tc>
        <w:tc>
          <w:tcPr>
            <w:tcW w:w="1180"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3549" w:type="dxa"/>
            <w:gridSpan w:val="3"/>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Isu dalam PGA REDD+</w:t>
            </w:r>
          </w:p>
        </w:tc>
        <w:tc>
          <w:tcPr>
            <w:tcW w:w="5812" w:type="dxa"/>
            <w:gridSpan w:val="4"/>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VI. Infrastruktur REDD+</w:t>
            </w: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a. Jumlah kelompok masyarakat adat/lokal dan bisnis yg dapat akses di dalam lokasi REDD+</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Kementerian &amp; Dinas Kehutanan, Satgas REDD+, Organisasi Masyarakat  Adat/Lokal</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9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FVIa1</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Jumlah kelompok masyarakat adat/lokal dan bisnis yg dapat akses di dalam lokasi REDD+</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Hingga saat ini belum ada implementasi REDD+ di Kotawaringin Barat</w:t>
            </w:r>
          </w:p>
        </w:tc>
        <w:tc>
          <w:tcPr>
            <w:tcW w:w="1275"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1125"/>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Satgas REDD+</w:t>
            </w:r>
          </w:p>
        </w:tc>
        <w:tc>
          <w:tcPr>
            <w:tcW w:w="6060" w:type="dxa"/>
            <w:gridSpan w:val="4"/>
            <w:tcBorders>
              <w:top w:val="single" w:sz="4" w:space="0" w:color="auto"/>
              <w:left w:val="nil"/>
              <w:bottom w:val="single" w:sz="4" w:space="0" w:color="auto"/>
              <w:right w:val="single" w:sz="4" w:space="0" w:color="000000"/>
            </w:tcBorders>
            <w:shd w:val="clear" w:color="000000" w:fill="F2DDDC"/>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Satgas REDD+ belum terbentuk</w:t>
            </w:r>
          </w:p>
        </w:tc>
      </w:tr>
      <w:tr w:rsidR="002B7B39" w:rsidRPr="002B7B39" w:rsidTr="002B7B39">
        <w:trPr>
          <w:trHeight w:val="300"/>
        </w:trPr>
        <w:tc>
          <w:tcPr>
            <w:tcW w:w="856"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180"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513"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6"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27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c>
          <w:tcPr>
            <w:tcW w:w="1985" w:type="dxa"/>
            <w:tcBorders>
              <w:top w:val="nil"/>
              <w:left w:val="nil"/>
              <w:bottom w:val="nil"/>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24"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b. Tingkat penerimaan Strategi REDD+ oleh para aktor</w:t>
            </w:r>
            <w:r w:rsidRPr="002B7B39">
              <w:rPr>
                <w:rFonts w:ascii="Times New Roman" w:eastAsia="Times New Roman" w:hAnsi="Times New Roman" w:cs="Times New Roman"/>
                <w:b/>
                <w:bCs/>
                <w:color w:val="000000"/>
                <w:lang w:eastAsia="id-ID"/>
              </w:rPr>
              <w:br/>
            </w:r>
          </w:p>
        </w:tc>
      </w:tr>
      <w:tr w:rsidR="002B7B39" w:rsidRPr="002B7B39" w:rsidTr="002B7B39">
        <w:trPr>
          <w:trHeight w:val="66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lastRenderedPageBreak/>
              <w:t>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Pemerintah (Kementrian &amp; Dinas Kehutanan, Kementrian &amp; Dinas Pertanian, BAPPENAS &amp; BAPPEDA), Organisasi Masyarakat Sipil, Organisasi Masyarakat Adat/Lokal</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9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FVIb1</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Bagaimana penerimaan Strate-gi REDD+ oleh para aktor?</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Untuk kabupaten Kotawaringin  Barat belum ada implementasinya disini</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Bappeda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 tapi sebagian staf sudah tahu secara singkat mengenai REDD+, karena mereka pernah mengikuti diskusi atau pelatihan yang diselenggarakan oleh LSM Internasional yg ada di Kobar dan Kalsel, termasuk pelatihan yang pernah dilakukan pihak Norwegia. Kalau untuk Kabupaten Kotawaringin Barat belum dibentuk kelembagaan REDD +</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w:t>
            </w:r>
          </w:p>
        </w:tc>
        <w:tc>
          <w:tcPr>
            <w:tcW w:w="1524"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15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Hingga saat ini belum ada implementasi REDD+ di Kobar, jadi kami tidak banyak mengetahui seperti apa itu REDD+</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FVIb2</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Kelembagaan REDD+ sudah memadai?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Kelembagaan REDD di Kotawaingin belum dibentuk</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Bappeda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Kalau untuk Kabupaten Kotawaringin Barat belum dibentuk kelembagaan REDD +</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w:t>
            </w:r>
          </w:p>
        </w:tc>
        <w:tc>
          <w:tcPr>
            <w:tcW w:w="1524"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terbentuk di Kobart</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FVIb3</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Kerangka Pengaman sudah memadai?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Bappeda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 karena memang belum ada implementasi REDD+ di Kabupaten Waringin Barat</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w:t>
            </w:r>
          </w:p>
        </w:tc>
        <w:tc>
          <w:tcPr>
            <w:tcW w:w="1524"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FVIb4</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13" w:type="dxa"/>
            <w:vMerge w:val="restart"/>
            <w:tcBorders>
              <w:top w:val="nil"/>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Apakah (mekanisme) MRV sudah memadai?</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Mekanisme MRV Belum ada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Bappeda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w:t>
            </w:r>
          </w:p>
        </w:tc>
        <w:tc>
          <w:tcPr>
            <w:tcW w:w="1524" w:type="dxa"/>
            <w:tcBorders>
              <w:top w:val="nil"/>
              <w:left w:val="nil"/>
              <w:bottom w:val="single" w:sz="4" w:space="0" w:color="auto"/>
              <w:right w:val="single" w:sz="4" w:space="0" w:color="auto"/>
            </w:tcBorders>
            <w:shd w:val="clear" w:color="000000" w:fill="FFFF00"/>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900"/>
        </w:trPr>
        <w:tc>
          <w:tcPr>
            <w:tcW w:w="856"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180" w:type="dxa"/>
            <w:vMerge/>
            <w:tcBorders>
              <w:top w:val="nil"/>
              <w:left w:val="single" w:sz="4" w:space="0" w:color="auto"/>
              <w:bottom w:val="single" w:sz="4" w:space="0" w:color="000000"/>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513" w:type="dxa"/>
            <w:vMerge/>
            <w:tcBorders>
              <w:top w:val="nil"/>
              <w:left w:val="single" w:sz="4" w:space="0" w:color="auto"/>
              <w:bottom w:val="single" w:sz="4" w:space="0" w:color="auto"/>
              <w:right w:val="single" w:sz="4" w:space="0" w:color="auto"/>
            </w:tcBorders>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Tidak ada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Belum ada</w:t>
            </w:r>
          </w:p>
        </w:tc>
        <w:tc>
          <w:tcPr>
            <w:tcW w:w="1524" w:type="dxa"/>
            <w:tcBorders>
              <w:top w:val="nil"/>
              <w:left w:val="nil"/>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r>
      <w:tr w:rsidR="002B7B39" w:rsidRPr="002B7B39" w:rsidTr="002B7B39">
        <w:trPr>
          <w:trHeight w:val="300"/>
        </w:trPr>
        <w:tc>
          <w:tcPr>
            <w:tcW w:w="856"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180"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513"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p>
        </w:tc>
        <w:tc>
          <w:tcPr>
            <w:tcW w:w="1276"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276"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275"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985"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p>
        </w:tc>
        <w:tc>
          <w:tcPr>
            <w:tcW w:w="1524"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c. Tingkat deforestasi di lokasi assesmen</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Kementerian &amp; Dinas Kehutanan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7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FVIc1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Tingkat deforestasi di lokasi assesmen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Hingga saat ini belum ada implementasi REDD+ di Kotawaringin Barat, dan dalam laporan kehutanan .</w:t>
            </w:r>
            <w:r w:rsidRPr="002B7B39">
              <w:rPr>
                <w:rFonts w:ascii="Times New Roman" w:eastAsia="Times New Roman" w:hAnsi="Times New Roman" w:cs="Times New Roman"/>
                <w:color w:val="000000"/>
                <w:lang w:eastAsia="id-ID"/>
              </w:rPr>
              <w:br/>
              <w:t xml:space="preserve">Menurut informasi berbagai instasi seperti kepolisian, dan Dishut Kotawaringin Barat, sejak adanya pemberantasan illegal logging di Indonesia, aktivitas illegal logging dlm beberapa tahun terakhir ini juga berhenti, namun kawasan konservasi seperti Taman Nasional Tanjung Puting kini mendapatkan ancaman dari pengembangan perkebunan kelapa sawit  yg diareal pengangga kawasan konservasi TNTP termasuk di </w:t>
            </w:r>
            <w:r w:rsidRPr="002B7B39">
              <w:rPr>
                <w:rFonts w:ascii="Times New Roman" w:eastAsia="Times New Roman" w:hAnsi="Times New Roman" w:cs="Times New Roman"/>
                <w:color w:val="000000"/>
                <w:lang w:eastAsia="id-ID"/>
              </w:rPr>
              <w:lastRenderedPageBreak/>
              <w:t xml:space="preserve">kawasan Suaka Marga Satwa Lamandau. </w:t>
            </w:r>
            <w:r w:rsidRPr="002B7B39">
              <w:rPr>
                <w:rFonts w:ascii="Times New Roman" w:eastAsia="Times New Roman" w:hAnsi="Times New Roman" w:cs="Times New Roman"/>
                <w:color w:val="000000"/>
                <w:lang w:eastAsia="id-ID"/>
              </w:rPr>
              <w:br/>
              <w:t>Laporan Tahunan Dishut Kobar 2011 tidak mengungkap data tingkat deforestasi hutan di Kobar</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180"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513"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p>
        </w:tc>
        <w:tc>
          <w:tcPr>
            <w:tcW w:w="1276"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276"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275"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985"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p>
        </w:tc>
        <w:tc>
          <w:tcPr>
            <w:tcW w:w="1524"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d. Tingkat degradasi hutan di lokasi assesmen</w:t>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Kementerian &amp; Dinas Kehutanan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4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FVId1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Tingkat degradasi hutan di lokasi assesmen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000000" w:fill="FFFFFF"/>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Tingkat degradasi hutan di Kab Kotawaringin Barat akibat kebakaran hutan dan lahan selama tahun 2011 seluas 3,534 hektar. Dengan perincian sebagai berikut :</w:t>
            </w:r>
            <w:r w:rsidRPr="002B7B39">
              <w:rPr>
                <w:rFonts w:ascii="Times New Roman" w:eastAsia="Times New Roman" w:hAnsi="Times New Roman" w:cs="Times New Roman"/>
                <w:color w:val="000000"/>
                <w:lang w:eastAsia="id-ID"/>
              </w:rPr>
              <w:br/>
            </w:r>
            <w:r w:rsidRPr="002B7B39">
              <w:rPr>
                <w:rFonts w:ascii="Times New Roman" w:eastAsia="Times New Roman" w:hAnsi="Times New Roman" w:cs="Times New Roman"/>
                <w:color w:val="000000"/>
                <w:lang w:eastAsia="id-ID"/>
              </w:rPr>
              <w:lastRenderedPageBreak/>
              <w:t>a). Suaka Marga Satwa Lamandau luasan kebakaran kurang lebih : 2.34 hektar dengan jenis vegetasi semak belukar, hutan alas, rumput dan alang-alang</w:t>
            </w:r>
            <w:r w:rsidRPr="002B7B39">
              <w:rPr>
                <w:rFonts w:ascii="Times New Roman" w:eastAsia="Times New Roman" w:hAnsi="Times New Roman" w:cs="Times New Roman"/>
                <w:color w:val="000000"/>
                <w:lang w:eastAsia="id-ID"/>
              </w:rPr>
              <w:br/>
              <w:t xml:space="preserve">b). Lahan Masyarakat luas kebakaran kurang lebih </w:t>
            </w:r>
            <w:r w:rsidRPr="002B7B39">
              <w:rPr>
                <w:rFonts w:ascii="Times New Roman" w:eastAsia="Times New Roman" w:hAnsi="Times New Roman" w:cs="Times New Roman"/>
                <w:color w:val="000000"/>
                <w:lang w:eastAsia="id-ID"/>
              </w:rPr>
              <w:br/>
              <w:t>1.500 hektar</w:t>
            </w:r>
          </w:p>
        </w:tc>
        <w:tc>
          <w:tcPr>
            <w:tcW w:w="1275" w:type="dxa"/>
            <w:tcBorders>
              <w:top w:val="nil"/>
              <w:left w:val="nil"/>
              <w:bottom w:val="single" w:sz="4" w:space="0" w:color="auto"/>
              <w:right w:val="single" w:sz="4" w:space="0" w:color="auto"/>
            </w:tcBorders>
            <w:shd w:val="clear" w:color="000000" w:fill="FFFFFF"/>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lastRenderedPageBreak/>
              <w:t>3</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r w:rsidR="002B7B39" w:rsidRPr="002B7B39" w:rsidTr="002B7B39">
        <w:trPr>
          <w:trHeight w:val="300"/>
        </w:trPr>
        <w:tc>
          <w:tcPr>
            <w:tcW w:w="856"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180"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513"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p>
        </w:tc>
        <w:tc>
          <w:tcPr>
            <w:tcW w:w="1276"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276"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275"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c>
          <w:tcPr>
            <w:tcW w:w="1985"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rPr>
                <w:rFonts w:ascii="Calibri" w:eastAsia="Times New Roman" w:hAnsi="Calibri" w:cs="Times New Roman"/>
                <w:color w:val="000000"/>
                <w:lang w:eastAsia="id-ID"/>
              </w:rPr>
            </w:pPr>
          </w:p>
        </w:tc>
        <w:tc>
          <w:tcPr>
            <w:tcW w:w="1524" w:type="dxa"/>
            <w:tcBorders>
              <w:top w:val="nil"/>
              <w:left w:val="nil"/>
              <w:bottom w:val="nil"/>
              <w:right w:val="nil"/>
            </w:tcBorders>
            <w:shd w:val="clear" w:color="auto" w:fill="auto"/>
            <w:noWrap/>
            <w:vAlign w:val="bottom"/>
            <w:hideMark/>
          </w:tcPr>
          <w:p w:rsidR="002B7B39" w:rsidRPr="002B7B39" w:rsidRDefault="002B7B39" w:rsidP="002B7B39">
            <w:pPr>
              <w:spacing w:after="0" w:line="240" w:lineRule="auto"/>
              <w:jc w:val="center"/>
              <w:rPr>
                <w:rFonts w:ascii="Calibri" w:eastAsia="Times New Roman" w:hAnsi="Calibri" w:cs="Times New Roman"/>
                <w:color w:val="000000"/>
                <w:lang w:eastAsia="id-ID"/>
              </w:rPr>
            </w:pPr>
          </w:p>
        </w:tc>
      </w:tr>
      <w:tr w:rsidR="002B7B39" w:rsidRPr="002B7B39" w:rsidTr="002B7B39">
        <w:trPr>
          <w:trHeight w:val="6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Indikator</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p>
        </w:tc>
        <w:tc>
          <w:tcPr>
            <w:tcW w:w="7336" w:type="dxa"/>
            <w:gridSpan w:val="5"/>
            <w:tcBorders>
              <w:top w:val="nil"/>
              <w:left w:val="nil"/>
              <w:bottom w:val="nil"/>
              <w:right w:val="nil"/>
            </w:tcBorders>
            <w:shd w:val="clear" w:color="auto" w:fill="auto"/>
            <w:vAlign w:val="center"/>
            <w:hideMark/>
          </w:tcPr>
          <w:p w:rsidR="002B7B39" w:rsidRPr="002B7B39" w:rsidRDefault="002B7B39" w:rsidP="002B7B39">
            <w:pPr>
              <w:spacing w:after="24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xml:space="preserve">: e. Jumlah kawasan yang dikelola secara berkelanjutan oleh pelaku pengelolaan hutan dalam pelaksanaan </w:t>
            </w:r>
            <w:r w:rsidRPr="002B7B39">
              <w:rPr>
                <w:rFonts w:ascii="Times New Roman" w:eastAsia="Times New Roman" w:hAnsi="Times New Roman" w:cs="Times New Roman"/>
                <w:b/>
                <w:bCs/>
                <w:color w:val="000000"/>
                <w:lang w:eastAsia="id-ID"/>
              </w:rPr>
              <w:br/>
              <w:t xml:space="preserve">  REDD+ (demonstration ativities)</w:t>
            </w:r>
            <w:r w:rsidRPr="002B7B39">
              <w:rPr>
                <w:rFonts w:ascii="Times New Roman" w:eastAsia="Times New Roman" w:hAnsi="Times New Roman" w:cs="Times New Roman"/>
                <w:b/>
                <w:bCs/>
                <w:color w:val="000000"/>
                <w:lang w:eastAsia="id-ID"/>
              </w:rPr>
              <w:br/>
            </w:r>
          </w:p>
        </w:tc>
      </w:tr>
      <w:tr w:rsidR="002B7B39" w:rsidRPr="002B7B39" w:rsidTr="002B7B39">
        <w:trPr>
          <w:trHeight w:val="300"/>
        </w:trPr>
        <w:tc>
          <w:tcPr>
            <w:tcW w:w="2036" w:type="dxa"/>
            <w:gridSpan w:val="2"/>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informasi</w:t>
            </w:r>
          </w:p>
        </w:tc>
        <w:tc>
          <w:tcPr>
            <w:tcW w:w="1513" w:type="dxa"/>
            <w:tcBorders>
              <w:top w:val="nil"/>
              <w:left w:val="nil"/>
              <w:bottom w:val="nil"/>
              <w:right w:val="nil"/>
            </w:tcBorders>
            <w:shd w:val="clear" w:color="auto" w:fill="auto"/>
            <w:noWrap/>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p>
        </w:tc>
        <w:tc>
          <w:tcPr>
            <w:tcW w:w="7336" w:type="dxa"/>
            <w:gridSpan w:val="5"/>
            <w:tcBorders>
              <w:top w:val="nil"/>
              <w:left w:val="nil"/>
              <w:bottom w:val="single" w:sz="4" w:space="0" w:color="auto"/>
              <w:right w:val="nil"/>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 Kementerian &amp; Dinas Kehutanan</w:t>
            </w:r>
          </w:p>
        </w:tc>
      </w:tr>
      <w:tr w:rsidR="002B7B39" w:rsidRPr="002B7B39" w:rsidTr="002B7B39">
        <w:trPr>
          <w:trHeight w:val="57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Kode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Panduan Analisis Dokumen</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Pertanyaan Wawancara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Dokumen</w:t>
            </w:r>
          </w:p>
        </w:tc>
        <w:tc>
          <w:tcPr>
            <w:tcW w:w="127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Dokumen</w:t>
            </w:r>
          </w:p>
        </w:tc>
        <w:tc>
          <w:tcPr>
            <w:tcW w:w="1985"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Ringkasan Wawancara</w:t>
            </w:r>
          </w:p>
        </w:tc>
        <w:tc>
          <w:tcPr>
            <w:tcW w:w="1524"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b/>
                <w:bCs/>
                <w:color w:val="000000"/>
                <w:lang w:eastAsia="id-ID"/>
              </w:rPr>
            </w:pPr>
            <w:r w:rsidRPr="002B7B39">
              <w:rPr>
                <w:rFonts w:ascii="Times New Roman" w:eastAsia="Times New Roman" w:hAnsi="Times New Roman" w:cs="Times New Roman"/>
                <w:b/>
                <w:bCs/>
                <w:color w:val="000000"/>
                <w:lang w:eastAsia="id-ID"/>
              </w:rPr>
              <w:t>Kategori Data Wawancara</w:t>
            </w:r>
          </w:p>
        </w:tc>
      </w:tr>
      <w:tr w:rsidR="002B7B39" w:rsidRPr="002B7B39" w:rsidTr="002B7B39">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FVIe1</w:t>
            </w:r>
          </w:p>
        </w:tc>
        <w:tc>
          <w:tcPr>
            <w:tcW w:w="1180"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Jumlah kawasan yang dikelola secara berkelanjutan oleh pelaku pengelolaan hutan dalam pelaksanaan REDD+ (demonstration ativities) </w:t>
            </w:r>
          </w:p>
        </w:tc>
        <w:tc>
          <w:tcPr>
            <w:tcW w:w="1513"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276" w:type="dxa"/>
            <w:tcBorders>
              <w:top w:val="nil"/>
              <w:left w:val="nil"/>
              <w:bottom w:val="single" w:sz="4" w:space="0" w:color="auto"/>
              <w:right w:val="single" w:sz="4" w:space="0" w:color="auto"/>
            </w:tcBorders>
            <w:shd w:val="clear" w:color="auto" w:fill="auto"/>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Kehutanan</w:t>
            </w:r>
          </w:p>
        </w:tc>
        <w:tc>
          <w:tcPr>
            <w:tcW w:w="1276" w:type="dxa"/>
            <w:tcBorders>
              <w:top w:val="nil"/>
              <w:left w:val="nil"/>
              <w:bottom w:val="single" w:sz="4" w:space="0" w:color="auto"/>
              <w:right w:val="single" w:sz="4" w:space="0" w:color="auto"/>
            </w:tcBorders>
            <w:shd w:val="clear" w:color="000000" w:fill="FFFFFF"/>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xml:space="preserve">Belum ada hutan di Kotawaringin Barat yang masuk dalam skema REDD+ atau belum ada implementasi REDD+ </w:t>
            </w:r>
          </w:p>
        </w:tc>
        <w:tc>
          <w:tcPr>
            <w:tcW w:w="1275" w:type="dxa"/>
            <w:tcBorders>
              <w:top w:val="nil"/>
              <w:left w:val="nil"/>
              <w:bottom w:val="single" w:sz="4" w:space="0" w:color="auto"/>
              <w:right w:val="single" w:sz="4" w:space="0" w:color="auto"/>
            </w:tcBorders>
            <w:shd w:val="clear" w:color="000000" w:fill="FFFFFF"/>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000000" w:fill="000000"/>
            <w:vAlign w:val="center"/>
            <w:hideMark/>
          </w:tcPr>
          <w:p w:rsidR="002B7B39" w:rsidRPr="002B7B39" w:rsidRDefault="002B7B39" w:rsidP="002B7B39">
            <w:pPr>
              <w:spacing w:after="0" w:line="240" w:lineRule="auto"/>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c>
          <w:tcPr>
            <w:tcW w:w="1524" w:type="dxa"/>
            <w:tcBorders>
              <w:top w:val="nil"/>
              <w:left w:val="nil"/>
              <w:bottom w:val="single" w:sz="4" w:space="0" w:color="auto"/>
              <w:right w:val="single" w:sz="4" w:space="0" w:color="auto"/>
            </w:tcBorders>
            <w:shd w:val="clear" w:color="000000" w:fill="000000"/>
            <w:noWrap/>
            <w:vAlign w:val="center"/>
            <w:hideMark/>
          </w:tcPr>
          <w:p w:rsidR="002B7B39" w:rsidRPr="002B7B39" w:rsidRDefault="002B7B39" w:rsidP="002B7B39">
            <w:pPr>
              <w:spacing w:after="0" w:line="240" w:lineRule="auto"/>
              <w:jc w:val="center"/>
              <w:rPr>
                <w:rFonts w:ascii="Times New Roman" w:eastAsia="Times New Roman" w:hAnsi="Times New Roman" w:cs="Times New Roman"/>
                <w:color w:val="000000"/>
                <w:lang w:eastAsia="id-ID"/>
              </w:rPr>
            </w:pPr>
            <w:r w:rsidRPr="002B7B39">
              <w:rPr>
                <w:rFonts w:ascii="Times New Roman" w:eastAsia="Times New Roman" w:hAnsi="Times New Roman" w:cs="Times New Roman"/>
                <w:color w:val="000000"/>
                <w:lang w:eastAsia="id-ID"/>
              </w:rPr>
              <w:t> </w:t>
            </w:r>
          </w:p>
        </w:tc>
      </w:tr>
    </w:tbl>
    <w:p w:rsidR="002B7B39" w:rsidRDefault="002B7B39"/>
    <w:sectPr w:rsidR="002B7B3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2B7B39"/>
    <w:rsid w:val="004165D1"/>
    <w:rsid w:val="004570C7"/>
    <w:rsid w:val="005D2D3D"/>
    <w:rsid w:val="006E5970"/>
    <w:rsid w:val="009F3E98"/>
    <w:rsid w:val="00A91768"/>
    <w:rsid w:val="00BB5203"/>
    <w:rsid w:val="00C622FE"/>
    <w:rsid w:val="00D74DB4"/>
    <w:rsid w:val="00D9058A"/>
    <w:rsid w:val="00F266F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2B7B39"/>
    <w:pPr>
      <w:spacing w:before="100" w:beforeAutospacing="1" w:after="100" w:afterAutospacing="1" w:line="240" w:lineRule="auto"/>
    </w:pPr>
    <w:rPr>
      <w:rFonts w:ascii="Tahoma" w:eastAsia="Times New Roman" w:hAnsi="Tahoma" w:cs="Tahoma"/>
      <w:b/>
      <w:bCs/>
      <w:color w:val="000000"/>
      <w:sz w:val="18"/>
      <w:szCs w:val="18"/>
      <w:lang w:eastAsia="id-ID"/>
    </w:rPr>
  </w:style>
  <w:style w:type="paragraph" w:customStyle="1" w:styleId="font8">
    <w:name w:val="font8"/>
    <w:basedOn w:val="Normal"/>
    <w:rsid w:val="002B7B39"/>
    <w:pPr>
      <w:spacing w:before="100" w:beforeAutospacing="1" w:after="100" w:afterAutospacing="1" w:line="240" w:lineRule="auto"/>
    </w:pPr>
    <w:rPr>
      <w:rFonts w:ascii="Tahoma" w:eastAsia="Times New Roman" w:hAnsi="Tahoma" w:cs="Tahoma"/>
      <w:color w:val="000000"/>
      <w:sz w:val="18"/>
      <w:szCs w:val="18"/>
      <w:lang w:eastAsia="id-ID"/>
    </w:rPr>
  </w:style>
  <w:style w:type="paragraph" w:customStyle="1" w:styleId="font9">
    <w:name w:val="font9"/>
    <w:basedOn w:val="Normal"/>
    <w:rsid w:val="002B7B39"/>
    <w:pPr>
      <w:spacing w:before="100" w:beforeAutospacing="1" w:after="100" w:afterAutospacing="1" w:line="240" w:lineRule="auto"/>
    </w:pPr>
    <w:rPr>
      <w:rFonts w:ascii="Times New Roman" w:eastAsia="Times New Roman" w:hAnsi="Times New Roman" w:cs="Times New Roman"/>
      <w:color w:val="333333"/>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636225772">
      <w:bodyDiv w:val="1"/>
      <w:marLeft w:val="0"/>
      <w:marRight w:val="0"/>
      <w:marTop w:val="0"/>
      <w:marBottom w:val="0"/>
      <w:divBdr>
        <w:top w:val="none" w:sz="0" w:space="0" w:color="auto"/>
        <w:left w:val="none" w:sz="0" w:space="0" w:color="auto"/>
        <w:bottom w:val="none" w:sz="0" w:space="0" w:color="auto"/>
        <w:right w:val="none" w:sz="0" w:space="0" w:color="auto"/>
      </w:divBdr>
    </w:div>
    <w:div w:id="915287350">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25</Pages>
  <Words>4171</Words>
  <Characters>23775</Characters>
  <Application>Microsoft Office Word</Application>
  <DocSecurity>0</DocSecurity>
  <Lines>198</Lines>
  <Paragraphs>55</Paragraphs>
  <ScaleCrop>false</ScaleCrop>
  <Company/>
  <LinksUpToDate>false</LinksUpToDate>
  <CharactersWithSpaces>27891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2012-10-16T06:32:00Z</dcterms:modified>
</cp:coreProperties>
</file>